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120"/>
        <w:rPr>
          <w:sz w:val="14"/>
          <w:szCs w:val="14"/>
          <w:highlight w:val="white"/>
        </w:rPr>
      </w:pPr>
      <w:r w:rsidDel="00000000" w:rsidR="00000000" w:rsidRPr="00000000">
        <w:rPr>
          <w:rtl w:val="0"/>
        </w:rPr>
      </w:r>
    </w:p>
    <w:p w:rsidR="00000000" w:rsidDel="00000000" w:rsidP="00000000" w:rsidRDefault="00000000" w:rsidRPr="00000000" w14:paraId="00000002">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jc w:val="center"/>
        <w:rPr>
          <w:b w:val="1"/>
          <w:color w:val="e89146"/>
          <w:sz w:val="28"/>
          <w:szCs w:val="28"/>
        </w:rPr>
      </w:pPr>
      <w:r w:rsidDel="00000000" w:rsidR="00000000" w:rsidRPr="00000000">
        <w:rPr>
          <w:b w:val="1"/>
          <w:color w:val="e89146"/>
          <w:sz w:val="28"/>
          <w:szCs w:val="28"/>
          <w:rtl w:val="0"/>
        </w:rPr>
        <w:t xml:space="preserve">Action points</w:t>
      </w:r>
    </w:p>
    <w:p w:rsidR="00000000" w:rsidDel="00000000" w:rsidP="00000000" w:rsidRDefault="00000000" w:rsidRPr="00000000" w14:paraId="00000003">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jc w:val="center"/>
        <w:rPr>
          <w:color w:val="e89146"/>
          <w:sz w:val="12"/>
          <w:szCs w:val="12"/>
        </w:rPr>
      </w:pPr>
      <w:r w:rsidDel="00000000" w:rsidR="00000000" w:rsidRPr="00000000">
        <w:rPr>
          <w:color w:val="e89146"/>
          <w:sz w:val="28"/>
          <w:szCs w:val="28"/>
          <w:rtl w:val="0"/>
        </w:rPr>
        <w:t xml:space="preserve">​</w:t>
      </w:r>
      <w:r w:rsidDel="00000000" w:rsidR="00000000" w:rsidRPr="00000000">
        <w:rPr>
          <w:rtl w:val="0"/>
        </w:rPr>
      </w:r>
    </w:p>
    <w:p w:rsidR="00000000" w:rsidDel="00000000" w:rsidP="00000000" w:rsidRDefault="00000000" w:rsidRPr="00000000" w14:paraId="00000004">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jc w:val="center"/>
        <w:rPr>
          <w:b w:val="1"/>
          <w:color w:val="0b5394"/>
          <w:sz w:val="24"/>
          <w:szCs w:val="24"/>
        </w:rPr>
      </w:pPr>
      <w:r w:rsidDel="00000000" w:rsidR="00000000" w:rsidRPr="00000000">
        <w:rPr>
          <w:b w:val="1"/>
          <w:color w:val="0b5394"/>
          <w:sz w:val="24"/>
          <w:szCs w:val="24"/>
          <w:rtl w:val="0"/>
        </w:rPr>
        <w:t xml:space="preserve">How to bring visibility to the #EVCapital 2024 Call?</w:t>
      </w:r>
    </w:p>
    <w:p w:rsidR="00000000" w:rsidDel="00000000" w:rsidP="00000000" w:rsidRDefault="00000000" w:rsidRPr="00000000" w14:paraId="00000005">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jc w:val="center"/>
        <w:rPr>
          <w:b w:val="1"/>
          <w:color w:val="0b5394"/>
          <w:sz w:val="24"/>
          <w:szCs w:val="24"/>
        </w:rPr>
      </w:pPr>
      <w:r w:rsidDel="00000000" w:rsidR="00000000" w:rsidRPr="00000000">
        <w:rPr>
          <w:b w:val="1"/>
          <w:color w:val="0b5394"/>
          <w:sz w:val="24"/>
          <w:szCs w:val="24"/>
          <w:rtl w:val="0"/>
        </w:rPr>
        <w:t xml:space="preserve">​How to use the contents of the Tool Kit?</w:t>
      </w:r>
    </w:p>
    <w:p w:rsidR="00000000" w:rsidDel="00000000" w:rsidP="00000000" w:rsidRDefault="00000000" w:rsidRPr="00000000" w14:paraId="00000006">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rPr>
          <w:sz w:val="20"/>
          <w:szCs w:val="20"/>
        </w:rPr>
      </w:pPr>
      <w:r w:rsidDel="00000000" w:rsidR="00000000" w:rsidRPr="00000000">
        <w:rPr>
          <w:sz w:val="20"/>
          <w:szCs w:val="20"/>
          <w:rtl w:val="0"/>
        </w:rPr>
        <w:t xml:space="preserve"> </w:t>
      </w:r>
    </w:p>
    <w:p w:rsidR="00000000" w:rsidDel="00000000" w:rsidP="00000000" w:rsidRDefault="00000000" w:rsidRPr="00000000" w14:paraId="00000007">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rPr>
          <w:sz w:val="20"/>
          <w:szCs w:val="20"/>
        </w:rPr>
      </w:pPr>
      <w:r w:rsidDel="00000000" w:rsidR="00000000" w:rsidRPr="00000000">
        <w:rPr>
          <w:rtl w:val="0"/>
        </w:rPr>
      </w:r>
    </w:p>
    <w:p w:rsidR="00000000" w:rsidDel="00000000" w:rsidP="00000000" w:rsidRDefault="00000000" w:rsidRPr="00000000" w14:paraId="00000008">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ind w:right="281.81102362204797"/>
        <w:jc w:val="both"/>
        <w:rPr>
          <w:b w:val="1"/>
          <w:color w:val="ffbd59"/>
        </w:rPr>
      </w:pPr>
      <w:r w:rsidDel="00000000" w:rsidR="00000000" w:rsidRPr="00000000">
        <w:rPr>
          <w:b w:val="1"/>
          <w:color w:val="ffbd59"/>
          <w:rtl w:val="0"/>
        </w:rPr>
        <w:t xml:space="preserve">ONLINE:</w:t>
      </w:r>
    </w:p>
    <w:p w:rsidR="00000000" w:rsidDel="00000000" w:rsidP="00000000" w:rsidRDefault="00000000" w:rsidRPr="00000000" w14:paraId="00000009">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ind w:right="281.81102362204797"/>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A">
      <w:pPr>
        <w:pageBreakBefore w:val="0"/>
        <w:widowControl w:val="0"/>
        <w:numPr>
          <w:ilvl w:val="0"/>
          <w:numId w:val="3"/>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Include information about the call for candidates on your website, blog, newsletter, social media, and signature block. </w:t>
      </w:r>
      <w:r w:rsidDel="00000000" w:rsidR="00000000" w:rsidRPr="00000000">
        <w:rPr>
          <w:color w:val="e89146"/>
          <w:rtl w:val="0"/>
        </w:rPr>
        <w:t xml:space="preserve">e.g. the Flyer, videos, timeline of the competition, links to the call, and the application form.</w:t>
      </w:r>
      <w:r w:rsidDel="00000000" w:rsidR="00000000" w:rsidRPr="00000000">
        <w:rPr>
          <w:rtl w:val="0"/>
        </w:rPr>
      </w:r>
    </w:p>
    <w:p w:rsidR="00000000" w:rsidDel="00000000" w:rsidP="00000000" w:rsidRDefault="00000000" w:rsidRPr="00000000" w14:paraId="0000000B">
      <w:pPr>
        <w:pageBreakBefore w:val="0"/>
        <w:widowControl w:val="0"/>
        <w:numPr>
          <w:ilvl w:val="0"/>
          <w:numId w:val="3"/>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Share / like / retweet CEV posts on SM we post regularly about the EVCapital </w:t>
      </w:r>
      <w:r w:rsidDel="00000000" w:rsidR="00000000" w:rsidRPr="00000000">
        <w:rPr>
          <w:color w:val="e89146"/>
          <w:rtl w:val="0"/>
        </w:rPr>
        <w:t xml:space="preserve">when honoring volunteers, disseminating project results and sharing research on volunteering.</w:t>
      </w:r>
      <w:r w:rsidDel="00000000" w:rsidR="00000000" w:rsidRPr="00000000">
        <w:rPr>
          <w:rtl w:val="0"/>
        </w:rPr>
      </w:r>
    </w:p>
    <w:p w:rsidR="00000000" w:rsidDel="00000000" w:rsidP="00000000" w:rsidRDefault="00000000" w:rsidRPr="00000000" w14:paraId="0000000C">
      <w:pPr>
        <w:pageBreakBefore w:val="0"/>
        <w:widowControl w:val="0"/>
        <w:numPr>
          <w:ilvl w:val="0"/>
          <w:numId w:val="3"/>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Use the hashtags </w:t>
      </w:r>
      <w:r w:rsidDel="00000000" w:rsidR="00000000" w:rsidRPr="00000000">
        <w:rPr>
          <w:color w:val="e89146"/>
          <w:rtl w:val="0"/>
        </w:rPr>
        <w:t xml:space="preserve">#EVCapital #recognition #thankYOU</w:t>
      </w:r>
      <w:r w:rsidDel="00000000" w:rsidR="00000000" w:rsidRPr="00000000">
        <w:rPr>
          <w:rtl w:val="0"/>
        </w:rPr>
        <w:t xml:space="preserve"> when you honor your volunteers, disseminate projects and share research results on volunteering.</w:t>
      </w:r>
      <w:r w:rsidDel="00000000" w:rsidR="00000000" w:rsidRPr="00000000">
        <w:rPr>
          <w:rtl w:val="0"/>
        </w:rPr>
      </w:r>
    </w:p>
    <w:p w:rsidR="00000000" w:rsidDel="00000000" w:rsidP="00000000" w:rsidRDefault="00000000" w:rsidRPr="00000000" w14:paraId="0000000D">
      <w:pPr>
        <w:pageBreakBefore w:val="0"/>
        <w:widowControl w:val="0"/>
        <w:numPr>
          <w:ilvl w:val="0"/>
          <w:numId w:val="3"/>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Online meetings/calls. </w:t>
      </w:r>
      <w:r w:rsidDel="00000000" w:rsidR="00000000" w:rsidRPr="00000000">
        <w:rPr>
          <w:color w:val="e89146"/>
          <w:rtl w:val="0"/>
        </w:rPr>
        <w:t xml:space="preserve">Contact municipalities by phone and inform them the Call is published, and follow up with the link by email (or vice versa).</w:t>
      </w:r>
      <w:r w:rsidDel="00000000" w:rsidR="00000000" w:rsidRPr="00000000">
        <w:rPr>
          <w:rtl w:val="0"/>
        </w:rPr>
      </w:r>
    </w:p>
    <w:p w:rsidR="00000000" w:rsidDel="00000000" w:rsidP="00000000" w:rsidRDefault="00000000" w:rsidRPr="00000000" w14:paraId="0000000E">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ind w:right="281.81102362204797"/>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0F">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ind w:right="281.81102362204797"/>
        <w:jc w:val="both"/>
        <w:rPr>
          <w:sz w:val="20"/>
          <w:szCs w:val="20"/>
        </w:rPr>
      </w:pPr>
      <w:r w:rsidDel="00000000" w:rsidR="00000000" w:rsidRPr="00000000">
        <w:rPr>
          <w:rtl w:val="0"/>
        </w:rPr>
      </w:r>
    </w:p>
    <w:p w:rsidR="00000000" w:rsidDel="00000000" w:rsidP="00000000" w:rsidRDefault="00000000" w:rsidRPr="00000000" w14:paraId="00000010">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ind w:right="281.81102362204797"/>
        <w:jc w:val="both"/>
        <w:rPr>
          <w:b w:val="1"/>
          <w:color w:val="ffbd59"/>
        </w:rPr>
      </w:pPr>
      <w:r w:rsidDel="00000000" w:rsidR="00000000" w:rsidRPr="00000000">
        <w:rPr>
          <w:b w:val="1"/>
          <w:color w:val="ffbd59"/>
          <w:rtl w:val="0"/>
        </w:rPr>
        <w:t xml:space="preserve">EVENTS:</w:t>
      </w:r>
    </w:p>
    <w:p w:rsidR="00000000" w:rsidDel="00000000" w:rsidP="00000000" w:rsidRDefault="00000000" w:rsidRPr="00000000" w14:paraId="00000011">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ind w:right="281.81102362204797"/>
        <w:jc w:val="both"/>
        <w:rPr/>
      </w:pPr>
      <w:r w:rsidDel="00000000" w:rsidR="00000000" w:rsidRPr="00000000">
        <w:rPr>
          <w:rtl w:val="0"/>
        </w:rPr>
        <w:t xml:space="preserve"> </w:t>
      </w:r>
    </w:p>
    <w:p w:rsidR="00000000" w:rsidDel="00000000" w:rsidP="00000000" w:rsidRDefault="00000000" w:rsidRPr="00000000" w14:paraId="00000012">
      <w:pPr>
        <w:pageBreakBefore w:val="0"/>
        <w:widowControl w:val="0"/>
        <w:numPr>
          <w:ilvl w:val="0"/>
          <w:numId w:val="2"/>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Conferences, meetings, project dissemination sessions, networking opportunities: </w:t>
      </w:r>
      <w:r w:rsidDel="00000000" w:rsidR="00000000" w:rsidRPr="00000000">
        <w:rPr>
          <w:color w:val="e89146"/>
          <w:rtl w:val="0"/>
        </w:rPr>
        <w:t xml:space="preserve">please speak about your CEV membership and about the competition to local and regional authorities.</w:t>
      </w:r>
      <w:r w:rsidDel="00000000" w:rsidR="00000000" w:rsidRPr="00000000">
        <w:rPr>
          <w:rtl w:val="0"/>
        </w:rPr>
      </w:r>
    </w:p>
    <w:p w:rsidR="00000000" w:rsidDel="00000000" w:rsidP="00000000" w:rsidRDefault="00000000" w:rsidRPr="00000000" w14:paraId="00000013">
      <w:pPr>
        <w:pageBreakBefore w:val="0"/>
        <w:widowControl w:val="0"/>
        <w:numPr>
          <w:ilvl w:val="0"/>
          <w:numId w:val="2"/>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Targeted meetings: </w:t>
      </w:r>
      <w:r w:rsidDel="00000000" w:rsidR="00000000" w:rsidRPr="00000000">
        <w:rPr>
          <w:color w:val="e89146"/>
          <w:rtl w:val="0"/>
        </w:rPr>
        <w:t xml:space="preserve">arrange face-to-face meetings with stakeholders from municipalities to share information about the competition.</w:t>
      </w:r>
      <w:r w:rsidDel="00000000" w:rsidR="00000000" w:rsidRPr="00000000">
        <w:rPr>
          <w:rtl w:val="0"/>
        </w:rPr>
      </w:r>
    </w:p>
    <w:p w:rsidR="00000000" w:rsidDel="00000000" w:rsidP="00000000" w:rsidRDefault="00000000" w:rsidRPr="00000000" w14:paraId="00000014">
      <w:pPr>
        <w:pageBreakBefore w:val="0"/>
        <w:widowControl w:val="0"/>
        <w:numPr>
          <w:ilvl w:val="0"/>
          <w:numId w:val="2"/>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Press releases: </w:t>
      </w:r>
      <w:r w:rsidDel="00000000" w:rsidR="00000000" w:rsidRPr="00000000">
        <w:rPr>
          <w:color w:val="e89146"/>
          <w:rtl w:val="0"/>
        </w:rPr>
        <w:t xml:space="preserve">translate and share with your media partners the press release issued by CEV.</w:t>
      </w:r>
      <w:r w:rsidDel="00000000" w:rsidR="00000000" w:rsidRPr="00000000">
        <w:rPr>
          <w:rtl w:val="0"/>
        </w:rPr>
      </w:r>
    </w:p>
    <w:p w:rsidR="00000000" w:rsidDel="00000000" w:rsidP="00000000" w:rsidRDefault="00000000" w:rsidRPr="00000000" w14:paraId="00000015">
      <w:pPr>
        <w:pageBreakBefore w:val="0"/>
        <w:widowControl w:val="0"/>
        <w:numPr>
          <w:ilvl w:val="0"/>
          <w:numId w:val="2"/>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rtl w:val="0"/>
        </w:rPr>
        <w:t xml:space="preserve">CEV staff input: </w:t>
      </w:r>
      <w:r w:rsidDel="00000000" w:rsidR="00000000" w:rsidRPr="00000000">
        <w:rPr>
          <w:color w:val="e89146"/>
          <w:rtl w:val="0"/>
        </w:rPr>
        <w:t xml:space="preserve">when necessary a CEV Board/ staff member might be able to participate in events with the aim of presenting the competition so please don’t hesitate to contact </w:t>
      </w:r>
      <w:hyperlink r:id="rId7">
        <w:r w:rsidDel="00000000" w:rsidR="00000000" w:rsidRPr="00000000">
          <w:rPr>
            <w:color w:val="1155cc"/>
            <w:u w:val="single"/>
            <w:rtl w:val="0"/>
          </w:rPr>
          <w:t xml:space="preserve">cev@cev.be</w:t>
        </w:r>
      </w:hyperlink>
      <w:r w:rsidDel="00000000" w:rsidR="00000000" w:rsidRPr="00000000">
        <w:rPr>
          <w:color w:val="e89146"/>
          <w:rtl w:val="0"/>
        </w:rPr>
        <w:t xml:space="preserve"> about it.</w:t>
      </w:r>
      <w:r w:rsidDel="00000000" w:rsidR="00000000" w:rsidRPr="00000000">
        <w:rPr>
          <w:rtl w:val="0"/>
        </w:rPr>
      </w:r>
    </w:p>
    <w:p w:rsidR="00000000" w:rsidDel="00000000" w:rsidP="00000000" w:rsidRDefault="00000000" w:rsidRPr="00000000" w14:paraId="00000016">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7">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sz w:val="20"/>
          <w:szCs w:val="20"/>
        </w:rPr>
      </w:pPr>
      <w:r w:rsidDel="00000000" w:rsidR="00000000" w:rsidRPr="00000000">
        <w:rPr>
          <w:rtl w:val="0"/>
        </w:rPr>
      </w:r>
    </w:p>
    <w:p w:rsidR="00000000" w:rsidDel="00000000" w:rsidP="00000000" w:rsidRDefault="00000000" w:rsidRPr="00000000" w14:paraId="00000018">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b w:val="1"/>
          <w:color w:val="ffbd59"/>
        </w:rPr>
      </w:pPr>
      <w:r w:rsidDel="00000000" w:rsidR="00000000" w:rsidRPr="00000000">
        <w:rPr>
          <w:b w:val="1"/>
          <w:color w:val="ffbd59"/>
          <w:rtl w:val="0"/>
        </w:rPr>
        <w:t xml:space="preserve">CEV EVENTS:</w:t>
      </w:r>
    </w:p>
    <w:p w:rsidR="00000000" w:rsidDel="00000000" w:rsidP="00000000" w:rsidRDefault="00000000" w:rsidRPr="00000000" w14:paraId="00000019">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 </w:t>
      </w:r>
    </w:p>
    <w:p w:rsidR="00000000" w:rsidDel="00000000" w:rsidP="00000000" w:rsidRDefault="00000000" w:rsidRPr="00000000" w14:paraId="0000001A">
      <w:pPr>
        <w:pageBreakBefore w:val="0"/>
        <w:widowControl w:val="0"/>
        <w:numPr>
          <w:ilvl w:val="0"/>
          <w:numId w:val="1"/>
        </w:numPr>
        <w:pBdr>
          <w:top w:color="000000" w:space="0" w:sz="0" w:val="none"/>
          <w:bottom w:color="000000" w:space="0" w:sz="0" w:val="none"/>
          <w:right w:color="000000" w:space="0" w:sz="0" w:val="none"/>
          <w:between w:color="000000" w:space="0" w:sz="0" w:val="none"/>
        </w:pBdr>
        <w:tabs>
          <w:tab w:val="right" w:pos="9380"/>
        </w:tabs>
        <w:spacing w:line="360" w:lineRule="auto"/>
        <w:ind w:left="840" w:right="281.81102362204797" w:hanging="360"/>
        <w:jc w:val="both"/>
        <w:rPr>
          <w:sz w:val="22"/>
          <w:szCs w:val="22"/>
        </w:rPr>
      </w:pPr>
      <w:r w:rsidDel="00000000" w:rsidR="00000000" w:rsidRPr="00000000">
        <w:rPr>
          <w:b w:val="1"/>
          <w:rtl w:val="0"/>
        </w:rPr>
        <w:t xml:space="preserve">“Bring a friend”</w:t>
      </w:r>
      <w:r w:rsidDel="00000000" w:rsidR="00000000" w:rsidRPr="00000000">
        <w:rPr>
          <w:rtl w:val="0"/>
        </w:rPr>
        <w:t xml:space="preserve"> Ask the representative in municipalities that work on volunteering, participation or civil society to join you and take part in CEV events (</w:t>
      </w:r>
      <w:hyperlink r:id="rId8">
        <w:r w:rsidDel="00000000" w:rsidR="00000000" w:rsidRPr="00000000">
          <w:rPr>
            <w:color w:val="1155cc"/>
            <w:u w:val="single"/>
            <w:rtl w:val="0"/>
          </w:rPr>
          <w:t xml:space="preserve">here is a list</w:t>
        </w:r>
      </w:hyperlink>
      <w:r w:rsidDel="00000000" w:rsidR="00000000" w:rsidRPr="00000000">
        <w:rPr>
          <w:rtl w:val="0"/>
        </w:rPr>
        <w:t xml:space="preserve">) so that they can learn more about our work and the competition as well as about previous #EVCapital winners and candidates.</w:t>
      </w:r>
      <w:r w:rsidDel="00000000" w:rsidR="00000000" w:rsidRPr="00000000">
        <w:rPr>
          <w:rtl w:val="0"/>
        </w:rPr>
      </w:r>
    </w:p>
    <w:p w:rsidR="00000000" w:rsidDel="00000000" w:rsidP="00000000" w:rsidRDefault="00000000" w:rsidRPr="00000000" w14:paraId="0000001B">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ind w:right="281.81102362204797"/>
        <w:jc w:val="both"/>
        <w:rPr>
          <w:b w:val="1"/>
          <w:sz w:val="20"/>
          <w:szCs w:val="20"/>
        </w:rPr>
      </w:pPr>
      <w:r w:rsidDel="00000000" w:rsidR="00000000" w:rsidRPr="00000000">
        <w:rPr>
          <w:rtl w:val="0"/>
        </w:rPr>
      </w:r>
    </w:p>
    <w:p w:rsidR="00000000" w:rsidDel="00000000" w:rsidP="00000000" w:rsidRDefault="00000000" w:rsidRPr="00000000" w14:paraId="0000001C">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b w:val="1"/>
          <w:color w:val="e89146"/>
        </w:rPr>
      </w:pPr>
      <w:r w:rsidDel="00000000" w:rsidR="00000000" w:rsidRPr="00000000">
        <w:rPr>
          <w:b w:val="1"/>
          <w:color w:val="e89146"/>
          <w:rtl w:val="0"/>
        </w:rPr>
        <w:t xml:space="preserve">Time is precious, the workload never ends… so why would you allocate time to promote the EVCapital competition?</w:t>
      </w:r>
    </w:p>
    <w:p w:rsidR="00000000" w:rsidDel="00000000" w:rsidP="00000000" w:rsidRDefault="00000000" w:rsidRPr="00000000" w14:paraId="0000001D">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 </w:t>
      </w:r>
    </w:p>
    <w:p w:rsidR="00000000" w:rsidDel="00000000" w:rsidP="00000000" w:rsidRDefault="00000000" w:rsidRPr="00000000" w14:paraId="0000001E">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Participation in the competition strengthens volunteering at the local level and connects local volunteering actions, policies and programmes to the European Context. It enables volunteers, volunteer-involving and volunteer infrastructure organisations to collaborate more closely with local policy makers in a common cause to strengthen, inspire and celebrate volunteers in their area.</w:t>
      </w:r>
    </w:p>
    <w:p w:rsidR="00000000" w:rsidDel="00000000" w:rsidP="00000000" w:rsidRDefault="00000000" w:rsidRPr="00000000" w14:paraId="0000001F">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r>
    </w:p>
    <w:p w:rsidR="00000000" w:rsidDel="00000000" w:rsidP="00000000" w:rsidRDefault="00000000" w:rsidRPr="00000000" w14:paraId="00000020">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The application process requires a detailed audit of volunteer provision at the local level and helps to identify strengths and weaknesses of the approaches taken. It enables stakeholders from different fields and sectors to come together and further develop their volunteering policy and practice frameworks using European standards as guidelines.</w:t>
      </w:r>
    </w:p>
    <w:p w:rsidR="00000000" w:rsidDel="00000000" w:rsidP="00000000" w:rsidRDefault="00000000" w:rsidRPr="00000000" w14:paraId="00000021">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r>
    </w:p>
    <w:p w:rsidR="00000000" w:rsidDel="00000000" w:rsidP="00000000" w:rsidRDefault="00000000" w:rsidRPr="00000000" w14:paraId="00000022">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Participation can assist the development of volunteering and solidarity in Europe more widely as the examples shared serve as inspiration for others all across Europe. The winning municipality will be granted the title of “European Volunteering Capital 2024” and will be promoted as such during 2023 and 2024 throughout Europe and beyond.</w:t>
      </w:r>
    </w:p>
    <w:p w:rsidR="00000000" w:rsidDel="00000000" w:rsidP="00000000" w:rsidRDefault="00000000" w:rsidRPr="00000000" w14:paraId="00000023">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r>
    </w:p>
    <w:p w:rsidR="00000000" w:rsidDel="00000000" w:rsidP="00000000" w:rsidRDefault="00000000" w:rsidRPr="00000000" w14:paraId="00000024">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The winners and candidates will have the opportunity to join a unique community of practice of municipalities (and other levels of local and regional authorities) that have expertise in, and a shared concern for, strengthening, inspiring and celebrating VOLUNTEERING and SOLIDARITY.</w:t>
      </w:r>
    </w:p>
    <w:p w:rsidR="00000000" w:rsidDel="00000000" w:rsidP="00000000" w:rsidRDefault="00000000" w:rsidRPr="00000000" w14:paraId="00000025">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 </w:t>
      </w:r>
    </w:p>
    <w:p w:rsidR="00000000" w:rsidDel="00000000" w:rsidP="00000000" w:rsidRDefault="00000000" w:rsidRPr="00000000" w14:paraId="00000026">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b w:val="1"/>
        </w:rPr>
      </w:pPr>
      <w:r w:rsidDel="00000000" w:rsidR="00000000" w:rsidRPr="00000000">
        <w:rPr>
          <w:b w:val="1"/>
          <w:rtl w:val="0"/>
        </w:rPr>
        <w:t xml:space="preserve">As a CEV member, and having agreed that the EVCapital Competition is a key part of our work programme as a way to enable volunteering, we hope you will be able to be involved to ensure its continued success.</w:t>
      </w:r>
    </w:p>
    <w:p w:rsidR="00000000" w:rsidDel="00000000" w:rsidP="00000000" w:rsidRDefault="00000000" w:rsidRPr="00000000" w14:paraId="00000027">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b w:val="1"/>
        </w:rPr>
      </w:pPr>
      <w:r w:rsidDel="00000000" w:rsidR="00000000" w:rsidRPr="00000000">
        <w:rPr>
          <w:rtl w:val="0"/>
        </w:rPr>
      </w:r>
    </w:p>
    <w:p w:rsidR="00000000" w:rsidDel="00000000" w:rsidP="00000000" w:rsidRDefault="00000000" w:rsidRPr="00000000" w14:paraId="00000028">
      <w:pPr>
        <w:pageBreakBefore w:val="0"/>
        <w:widowControl w:val="0"/>
        <w:pBdr>
          <w:top w:color="000000" w:space="0" w:sz="0" w:val="none"/>
          <w:left w:color="000000" w:space="0" w:sz="0" w:val="none"/>
          <w:bottom w:color="000000" w:space="0" w:sz="0" w:val="none"/>
          <w:right w:color="000000" w:space="0" w:sz="0" w:val="none"/>
          <w:between w:color="000000" w:space="0" w:sz="0" w:val="none"/>
        </w:pBdr>
        <w:tabs>
          <w:tab w:val="right" w:pos="9380"/>
        </w:tabs>
        <w:spacing w:line="360" w:lineRule="auto"/>
        <w:ind w:right="281.81102362204797"/>
        <w:jc w:val="both"/>
        <w:rPr/>
      </w:pPr>
      <w:r w:rsidDel="00000000" w:rsidR="00000000" w:rsidRPr="00000000">
        <w:rPr>
          <w:rtl w:val="0"/>
        </w:rPr>
        <w:t xml:space="preserve">For any questions or doubts about the information provided here, please contact us: </w:t>
      </w:r>
      <w:hyperlink r:id="rId9">
        <w:r w:rsidDel="00000000" w:rsidR="00000000" w:rsidRPr="00000000">
          <w:rPr>
            <w:color w:val="1155cc"/>
            <w:u w:val="single"/>
            <w:rtl w:val="0"/>
          </w:rPr>
          <w:t xml:space="preserve">gabriella.civico@cev.be</w:t>
        </w:r>
      </w:hyperlink>
      <w:r w:rsidDel="00000000" w:rsidR="00000000" w:rsidRPr="00000000">
        <w:rPr>
          <w:rtl w:val="0"/>
        </w:rPr>
        <w:t xml:space="preserve">.</w:t>
      </w:r>
    </w:p>
    <w:p w:rsidR="00000000" w:rsidDel="00000000" w:rsidP="00000000" w:rsidRDefault="00000000" w:rsidRPr="00000000" w14:paraId="00000029">
      <w:pPr>
        <w:pageBreakBefore w:val="0"/>
        <w:widowControl w:val="0"/>
        <w:tabs>
          <w:tab w:val="right" w:pos="9380"/>
        </w:tabs>
        <w:spacing w:line="360" w:lineRule="auto"/>
        <w:rPr/>
      </w:pPr>
      <w:r w:rsidDel="00000000" w:rsidR="00000000" w:rsidRPr="00000000">
        <w:rPr>
          <w:rtl w:val="0"/>
        </w:rPr>
      </w:r>
    </w:p>
    <w:p w:rsidR="00000000" w:rsidDel="00000000" w:rsidP="00000000" w:rsidRDefault="00000000" w:rsidRPr="00000000" w14:paraId="0000002A">
      <w:pPr>
        <w:pageBreakBefore w:val="0"/>
        <w:spacing w:line="360" w:lineRule="auto"/>
        <w:ind w:right="120"/>
        <w:rPr>
          <w:rFonts w:ascii="Verdana" w:cs="Verdana" w:eastAsia="Verdana" w:hAnsi="Verdana"/>
          <w:sz w:val="20"/>
          <w:szCs w:val="20"/>
        </w:rPr>
      </w:pPr>
      <w:r w:rsidDel="00000000" w:rsidR="00000000" w:rsidRPr="00000000">
        <w:rPr>
          <w:rtl w:val="0"/>
        </w:rPr>
      </w:r>
    </w:p>
    <w:sectPr>
      <w:headerReference r:id="rId10" w:type="default"/>
      <w:footerReference r:id="rId11" w:type="default"/>
      <w:pgSz w:h="16834" w:w="11909" w:orient="portrait"/>
      <w:pgMar w:bottom="0" w:top="566.9291338582677" w:left="566.9291338582677" w:right="566.9291338582677" w:header="72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ntora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-295273</wp:posOffset>
          </wp:positionH>
          <wp:positionV relativeFrom="paragraph">
            <wp:posOffset>85725</wp:posOffset>
          </wp:positionV>
          <wp:extent cx="698138" cy="66272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15805" l="13523" r="49253" t="49609"/>
                  <a:stretch>
                    <a:fillRect/>
                  </a:stretch>
                </pic:blipFill>
                <pic:spPr>
                  <a:xfrm rot="10800000">
                    <a:off x="0" y="0"/>
                    <a:ext cx="698138" cy="662725"/>
                  </a:xfrm>
                  <a:prstGeom prst="rect"/>
                  <a:ln/>
                </pic:spPr>
              </pic:pic>
            </a:graphicData>
          </a:graphic>
        </wp:anchor>
      </w:drawing>
    </w:r>
  </w:p>
  <w:tbl>
    <w:tblPr>
      <w:tblStyle w:val="Table1"/>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c4587"/>
              <w:sz w:val="16"/>
              <w:szCs w:val="16"/>
            </w:rPr>
          </w:pPr>
          <w:r w:rsidDel="00000000" w:rsidR="00000000" w:rsidRPr="00000000">
            <w:rPr>
              <w:b w:val="1"/>
              <w:color w:val="1c4587"/>
              <w:sz w:val="16"/>
              <w:szCs w:val="16"/>
              <w:rtl w:val="0"/>
            </w:rPr>
            <w:t xml:space="preserve">Avenue des Arts 7/8 I Brussels 1210 I www.europeanvolunteercentre.org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c4587"/>
              <w:sz w:val="16"/>
              <w:szCs w:val="16"/>
            </w:rPr>
          </w:pPr>
          <w:r w:rsidDel="00000000" w:rsidR="00000000" w:rsidRPr="00000000">
            <w:rPr>
              <w:b w:val="1"/>
              <w:color w:val="1c4587"/>
              <w:sz w:val="16"/>
              <w:szCs w:val="16"/>
              <w:rtl w:val="0"/>
            </w:rPr>
            <w:t xml:space="preserve">Reg.446 777 248 I AISBL- A.R. 12.388/92 du 06/08/1992</w:t>
          </w:r>
        </w:p>
      </w:tc>
    </w:tr>
  </w:tb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color w:val="1c458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333375</wp:posOffset>
          </wp:positionH>
          <wp:positionV relativeFrom="paragraph">
            <wp:posOffset>-438147</wp:posOffset>
          </wp:positionV>
          <wp:extent cx="1143000" cy="114300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3000" cy="11430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6178913</wp:posOffset>
          </wp:positionH>
          <wp:positionV relativeFrom="paragraph">
            <wp:posOffset>-438147</wp:posOffset>
          </wp:positionV>
          <wp:extent cx="1002938" cy="932965"/>
          <wp:effectExtent b="0" l="0" r="0" t="0"/>
          <wp:wrapSquare wrapText="bothSides" distB="19050" distT="19050" distL="19050" distR="19050"/>
          <wp:docPr id="6" name="image2.png"/>
          <a:graphic>
            <a:graphicData uri="http://schemas.openxmlformats.org/drawingml/2006/picture">
              <pic:pic>
                <pic:nvPicPr>
                  <pic:cNvPr id="0" name="image2.png"/>
                  <pic:cNvPicPr preferRelativeResize="0"/>
                </pic:nvPicPr>
                <pic:blipFill>
                  <a:blip r:embed="rId2"/>
                  <a:srcRect b="15805" l="13523" r="49253" t="49609"/>
                  <a:stretch>
                    <a:fillRect/>
                  </a:stretch>
                </pic:blipFill>
                <pic:spPr>
                  <a:xfrm>
                    <a:off x="0" y="0"/>
                    <a:ext cx="1002938" cy="932965"/>
                  </a:xfrm>
                  <a:prstGeom prst="rect"/>
                  <a:ln/>
                </pic:spPr>
              </pic:pic>
            </a:graphicData>
          </a:graphic>
        </wp:anchor>
      </w:drawing>
    </w:r>
  </w:p>
  <w:p w:rsidR="00000000" w:rsidDel="00000000" w:rsidP="00000000" w:rsidRDefault="00000000" w:rsidRPr="00000000" w14:paraId="0000002C">
    <w:pPr>
      <w:pStyle w:val="Title"/>
      <w:jc w:val="center"/>
      <w:rPr>
        <w:rFonts w:ascii="Cantora One" w:cs="Cantora One" w:eastAsia="Cantora One" w:hAnsi="Cantora One"/>
        <w:color w:val="1c4587"/>
        <w:sz w:val="20"/>
        <w:szCs w:val="20"/>
      </w:rPr>
    </w:pPr>
    <w:bookmarkStart w:colFirst="0" w:colLast="0" w:name="_heading=h.gjdgxs" w:id="0"/>
    <w:bookmarkEnd w:id="0"/>
    <w:r w:rsidDel="00000000" w:rsidR="00000000" w:rsidRPr="00000000">
      <w:rPr>
        <w:rFonts w:ascii="Cantora One" w:cs="Cantora One" w:eastAsia="Cantora One" w:hAnsi="Cantora One"/>
        <w:color w:val="1c4587"/>
        <w:sz w:val="20"/>
        <w:szCs w:val="20"/>
        <w:rtl w:val="0"/>
      </w:rPr>
      <w:t xml:space="preserve">Strengthening, Inspiring and Celebrating </w:t>
    </w:r>
  </w:p>
  <w:p w:rsidR="00000000" w:rsidDel="00000000" w:rsidP="00000000" w:rsidRDefault="00000000" w:rsidRPr="00000000" w14:paraId="0000002D">
    <w:pPr>
      <w:pStyle w:val="Title"/>
      <w:jc w:val="center"/>
      <w:rPr>
        <w:rFonts w:ascii="Cantora One" w:cs="Cantora One" w:eastAsia="Cantora One" w:hAnsi="Cantora One"/>
        <w:color w:val="1c4587"/>
        <w:sz w:val="20"/>
        <w:szCs w:val="20"/>
      </w:rPr>
    </w:pPr>
    <w:r w:rsidDel="00000000" w:rsidR="00000000" w:rsidRPr="00000000">
      <w:rPr>
        <w:rFonts w:ascii="Cantora One" w:cs="Cantora One" w:eastAsia="Cantora One" w:hAnsi="Cantora One"/>
        <w:color w:val="ffbd59"/>
        <w:sz w:val="20"/>
        <w:szCs w:val="20"/>
        <w:rtl w:val="0"/>
      </w:rPr>
      <w:t xml:space="preserve">VOLUNTEERING</w:t>
    </w:r>
    <w:r w:rsidDel="00000000" w:rsidR="00000000" w:rsidRPr="00000000">
      <w:rPr>
        <w:rFonts w:ascii="Cantora One" w:cs="Cantora One" w:eastAsia="Cantora One" w:hAnsi="Cantora One"/>
        <w:color w:val="1c4587"/>
        <w:sz w:val="20"/>
        <w:szCs w:val="20"/>
        <w:rtl w:val="0"/>
      </w:rPr>
      <w:t xml:space="preserve"> &amp; </w:t>
    </w:r>
    <w:r w:rsidDel="00000000" w:rsidR="00000000" w:rsidRPr="00000000">
      <w:rPr>
        <w:rFonts w:ascii="Cantora One" w:cs="Cantora One" w:eastAsia="Cantora One" w:hAnsi="Cantora One"/>
        <w:color w:val="ffbd59"/>
        <w:sz w:val="20"/>
        <w:szCs w:val="20"/>
        <w:rtl w:val="0"/>
      </w:rPr>
      <w:t xml:space="preserve">SOLIDARITY </w:t>
    </w:r>
    <w:r w:rsidDel="00000000" w:rsidR="00000000" w:rsidRPr="00000000">
      <w:rPr>
        <w:rFonts w:ascii="Cantora One" w:cs="Cantora One" w:eastAsia="Cantora One" w:hAnsi="Cantora One"/>
        <w:color w:val="1c4587"/>
        <w:sz w:val="20"/>
        <w:szCs w:val="20"/>
        <w:rtl w:val="0"/>
      </w:rPr>
      <w:t xml:space="preserve">since 1992!</w:t>
    </w:r>
  </w:p>
  <w:p w:rsidR="00000000" w:rsidDel="00000000" w:rsidP="00000000" w:rsidRDefault="00000000" w:rsidRPr="00000000" w14:paraId="0000002E">
    <w:pPr>
      <w:rPr>
        <w:rFonts w:ascii="Cantora One" w:cs="Cantora One" w:eastAsia="Cantora One" w:hAnsi="Cantora One"/>
        <w:b w:val="1"/>
        <w:sz w:val="12"/>
        <w:szCs w:val="12"/>
      </w:rPr>
    </w:pPr>
    <w:r w:rsidDel="00000000" w:rsidR="00000000" w:rsidRPr="00000000">
      <w:rPr>
        <w:rtl w:val="0"/>
      </w:rPr>
    </w:r>
  </w:p>
  <w:p w:rsidR="00000000" w:rsidDel="00000000" w:rsidP="00000000" w:rsidRDefault="00000000" w:rsidRPr="00000000" w14:paraId="0000002F">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gabriella.civico@cev.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v@cev.be" TargetMode="External"/><Relationship Id="rId8" Type="http://schemas.openxmlformats.org/officeDocument/2006/relationships/hyperlink" Target="https://www.europeanvolunteercentre.org/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toraOn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XISukKUEPaSQjGr5/3aHx2fAg==">AMUW2mV7oEa51CTKBHDuKP71w/0WbbMgAZaRggvc5hd6KW5Vg6pd/pmpLkDGsmj1plTS4mr0S9PNZhvtgoWvtgD6Yk9iCjFjJyPjrNtffWnKyEpmPOUpFxPW4U9MY5OP1scPNALWOsJ3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